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inglés para fines específicos con orientación turística</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spacing w:before="160" w:line="360" w:lineRule="auto"/>
        <w:ind w:left="140" w:right="160" w:hanging="20"/>
        <w:jc w:val="both"/>
        <w:rPr>
          <w:rFonts w:ascii="Arial" w:cs="Arial" w:eastAsia="Arial" w:hAnsi="Arial"/>
        </w:rPr>
      </w:pPr>
      <w:r w:rsidDel="00000000" w:rsidR="00000000" w:rsidRPr="00000000">
        <w:rPr>
          <w:rFonts w:ascii="Arial" w:cs="Arial" w:eastAsia="Arial" w:hAnsi="Arial"/>
          <w:rtl w:val="0"/>
        </w:rPr>
        <w:t xml:space="preserve">El curso fue elaborado en el marco del Plan Anual de Capacitación de la Superintendencia de Institutos de Formación Policial, que busca ofrecer una serie de propuestas educativas que favorezcan el conocimiento y la formación constante de las/los efectivos policiales en distintas áreas. Cada año, diferentes ciudades de nuestra provincia reciben miles de turistas de distintas partes del país como del mundo y es la Policía de la Provincia de Buenos Aires, quien en el Marco del Operativo Sol o invierno, diseña diferentes estrategias para asistir y prevenir el caudal de gente que llega a las ciudades costeras. Desde esta mirada, sabemos que el personal de seguridad, es el primero en responder a necesidades e inquietudes con las cuales pueda enfrentarse un turista. </w:t>
      </w:r>
    </w:p>
    <w:p w:rsidR="00000000" w:rsidDel="00000000" w:rsidP="00000000" w:rsidRDefault="00000000" w:rsidRPr="00000000" w14:paraId="00000005">
      <w:pPr>
        <w:pStyle w:val="Heading1"/>
        <w:spacing w:before="1"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spacing w:before="0" w:line="36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before="0" w:line="360" w:lineRule="auto"/>
        <w:ind w:left="0" w:right="0" w:firstLine="0"/>
        <w:jc w:val="left"/>
        <w:rPr>
          <w:rFonts w:ascii="Arial" w:cs="Arial" w:eastAsia="Arial" w:hAnsi="Arial"/>
          <w:b w:val="1"/>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Se asignará un cupo de 5 cursantes para personal perteneciente a otras fuerzas de seguridad dentro del territorio argentino, este último en concordancia con la oferta académica que ofrece el Centro de Altos Estudios en Especialidades Policiales</w:t>
      </w:r>
      <w:r w:rsidDel="00000000" w:rsidR="00000000" w:rsidRPr="00000000">
        <w:rPr>
          <w:rtl w:val="0"/>
        </w:rPr>
      </w:r>
    </w:p>
    <w:p w:rsidR="00000000" w:rsidDel="00000000" w:rsidP="00000000" w:rsidRDefault="00000000" w:rsidRPr="00000000" w14:paraId="00000009">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48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w:t>
      </w:r>
      <w:r w:rsidDel="00000000" w:rsidR="00000000" w:rsidRPr="00000000">
        <w:rPr>
          <w:rtl w:val="0"/>
        </w:rPr>
      </w:r>
    </w:p>
    <w:p w:rsidR="00000000" w:rsidDel="00000000" w:rsidP="00000000" w:rsidRDefault="00000000" w:rsidRPr="00000000" w14:paraId="00000011">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25.</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